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34DC6">
        <w:trPr>
          <w:trHeight w:val="14618"/>
        </w:trPr>
        <w:tc>
          <w:tcPr>
            <w:tcW w:w="9781" w:type="dxa"/>
          </w:tcPr>
          <w:p w:rsidR="00BD6053" w:rsidRPr="00BD6053" w:rsidRDefault="00BD6053" w:rsidP="00BD6053">
            <w:pPr>
              <w:pStyle w:val="1"/>
              <w:suppressAutoHyphens/>
              <w:spacing w:before="0"/>
              <w:rPr>
                <w:b w:val="0"/>
                <w:bCs w:val="0"/>
                <w:spacing w:val="0"/>
                <w:szCs w:val="28"/>
                <w:lang w:val="ru-RU"/>
              </w:rPr>
            </w:pPr>
            <w:r w:rsidRPr="00BD6053">
              <w:rPr>
                <w:b w:val="0"/>
                <w:bCs w:val="0"/>
                <w:spacing w:val="0"/>
                <w:szCs w:val="28"/>
                <w:lang w:val="ru-RU"/>
              </w:rPr>
              <w:t>ЗАКЛЮЧЕНИЕ</w:t>
            </w:r>
            <w:r w:rsidRPr="00BD6053">
              <w:rPr>
                <w:b w:val="0"/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BD6053" w:rsidRDefault="00BD6053" w:rsidP="00BD6053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проекта постановления администрации муниципального образования Ейский район «</w:t>
            </w:r>
            <w:r>
              <w:rPr>
                <w:lang w:val="ru-RU"/>
              </w:rPr>
              <w:t>О внесении изменений в постановление администрации муниципального образования Ейский район от 21 августа 2017 года № 470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      </w:r>
            <w:r>
              <w:rPr>
                <w:color w:val="000000"/>
                <w:lang w:val="ru-RU"/>
              </w:rPr>
              <w:t>»</w:t>
            </w:r>
          </w:p>
          <w:p w:rsidR="00BD6053" w:rsidRDefault="00BD6053" w:rsidP="00BD605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Управлением экономики, инвестиций и промышленности администрации муниципального образования Ейский район как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рассмотрен поступивший 7 июня 2019 года проект постановления администрации муниципального образования Ейский район «</w:t>
            </w:r>
            <w:r>
              <w:rPr>
                <w:lang w:val="ru-RU"/>
              </w:rPr>
              <w:t>О внесении изменений в постановление администрации муниципального образования Ейский район от 21 августа 2017 года № 470 «Об утверждении порядка предоставления</w:t>
            </w:r>
            <w:proofErr w:type="gramEnd"/>
            <w:r>
              <w:rPr>
                <w:lang w:val="ru-RU"/>
              </w:rPr>
              <w:t xml:space="preserve">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      </w:r>
            <w:r>
              <w:rPr>
                <w:color w:val="000000"/>
                <w:lang w:val="ru-RU"/>
              </w:rPr>
              <w:t>» (далее – Проект), направленный для подготовки настоящего Заключения управлением сельского хозяйства и продовольствия администрации муниципального образования Ейский район (далее – Разработчик), и сообщает следующее.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образования Ейский район, утвержденного постановлением администрации муниципального образования Ейский район от                             31 октября 2016 года № 513, с учетом изменений, внесенных постановлением администрации муниципального образования Ейский район от                              3 февраля 2017 года № 40, постановлением администрации муниципального образования Ейский район от 3 апреля 2018 года № 217 (далее – Порядок), Проект подлежит проведению оценки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регулирующего воздействия.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отчете: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Ейский район от 21 августа 2017 года № 470 «Об утверждении порядка предоставления субсидий крестьянским (фермерским) хозяйствам,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варианта правового регулирования Разработчиком рассмотрен только один вариант – непринятие постановления администрации муниципального образования Ейский 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Ейский район от 21 августа 2017 года № 470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отчета, и установлено следующее: 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регулирующим органом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BD6053" w:rsidRDefault="00BD6053" w:rsidP="00BD6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proofErr w:type="spellStart"/>
            <w:r>
              <w:rPr>
                <w:color w:val="000000"/>
                <w:sz w:val="28"/>
                <w:szCs w:val="28"/>
              </w:rPr>
              <w:t>крестьянско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(фермерские) хозяйства, индивидуальные предприниматели и граждане, ведущие личное подсобно хозяйство;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адресатов правового регулирования – 17752 субъекта;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достижения заявленных целей правового регулирования – с момента вступления в силу постановления;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 не предполагаются;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местного бюджета (бюджета муниципального образования Ейский район), связанные с введением предлагаемого правового регулирования, не предполагаются;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Разработчика, риски введения предлагаемого правового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регулирования отсутствуют.</w:t>
            </w:r>
          </w:p>
          <w:p w:rsidR="00BD6053" w:rsidRDefault="00BD6053" w:rsidP="00BD6053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BD6053" w:rsidRDefault="00BD6053" w:rsidP="00BD6053">
            <w:pPr>
              <w:ind w:right="-250" w:firstLine="7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BD6053" w:rsidRDefault="00BD6053" w:rsidP="00BD6053">
            <w:pPr>
              <w:numPr>
                <w:ilvl w:val="0"/>
                <w:numId w:val="20"/>
              </w:numPr>
              <w:tabs>
                <w:tab w:val="left" w:pos="1027"/>
              </w:tabs>
              <w:suppressAutoHyphens/>
              <w:autoSpaceDN w:val="0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Потенциальные группы участников общественных отношений, интересы которых будут затронуты правовым регулированием: </w:t>
            </w:r>
            <w:proofErr w:type="spellStart"/>
            <w:r>
              <w:rPr>
                <w:color w:val="000000"/>
                <w:sz w:val="28"/>
                <w:szCs w:val="28"/>
              </w:rPr>
              <w:t>крестьянско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(фермерские) хозяйства, индивидуальные предприниматели и граждане, ведущие личное подсобно хозяйство.</w:t>
            </w:r>
          </w:p>
          <w:p w:rsidR="00BD6053" w:rsidRDefault="00BD6053" w:rsidP="00BD6053">
            <w:pPr>
              <w:tabs>
                <w:tab w:val="left" w:pos="694"/>
              </w:tabs>
              <w:suppressAutoHyphens/>
              <w:ind w:firstLine="6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Количественная оценка потенциальных участников общественных отношений – 17752 субъекта.</w:t>
            </w:r>
          </w:p>
          <w:p w:rsidR="00BD6053" w:rsidRDefault="00BD6053" w:rsidP="00BD6053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Проблема, на решение которой направлено предлагаемое проектом правовое регулирование, заключается в следующем:</w:t>
            </w:r>
          </w:p>
          <w:p w:rsidR="00BD6053" w:rsidRDefault="00BD6053" w:rsidP="00BD6053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действующий в муниципальном образовании Ейский район 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производства, утвержденный постановлением администрации муниципального образования Ейский район от                           21 августа 2017 года № 470 не соответствует требованиям приказа министерства сельского хозяйства и перерабатывающей промышленности Краснодарского края от 11 августа 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производства».</w:t>
            </w:r>
          </w:p>
          <w:p w:rsidR="00BD6053" w:rsidRDefault="00BD6053" w:rsidP="00BD6053">
            <w:pPr>
              <w:pStyle w:val="af6"/>
              <w:numPr>
                <w:ilvl w:val="0"/>
                <w:numId w:val="20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и заключается в выплате субсидий, предоставляемых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муниципальным образованиям Краснодарского края в порядке межбюджетных отношений.</w:t>
            </w:r>
          </w:p>
          <w:p w:rsidR="00BD6053" w:rsidRDefault="00BD6053" w:rsidP="00BD6053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Проектом предусмотрены положения, которыми изменяется содержание прав и обязанностей потенциальных адресатов правового регулирования (</w:t>
            </w:r>
            <w:proofErr w:type="spellStart"/>
            <w:r>
              <w:rPr>
                <w:color w:val="000000"/>
                <w:sz w:val="28"/>
                <w:szCs w:val="28"/>
              </w:rPr>
              <w:t>крестьянско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(фермерские) хозяйства, индивидуальные предприниматели и граждане, ведущие личное подсобно хозяйство) в соответствии с приложением № 3 Порядка.</w:t>
            </w:r>
          </w:p>
          <w:p w:rsidR="00BD6053" w:rsidRDefault="00BD6053" w:rsidP="00BD6053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</w:t>
            </w:r>
            <w:r>
              <w:rPr>
                <w:sz w:val="28"/>
                <w:szCs w:val="28"/>
              </w:rPr>
              <w:lastRenderedPageBreak/>
              <w:t>потенциальными адресатами предусмотрено в соответствии с приложением №3 Порядка.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потенциальных адресатов предлагаемого правового регулирования относятся к информационным издержкам (предполагаются в виде затрат на сбор, подготовку и представление в управление сельского хозяйства и продовольствия администрации муниципального образования Ейский район (документов, сведений) в соответствии с требованиями проекта муниципального нормативного правового акта) и </w:t>
            </w:r>
            <w:r w:rsidRPr="00BD6053">
              <w:rPr>
                <w:color w:val="auto"/>
                <w:sz w:val="28"/>
                <w:szCs w:val="28"/>
              </w:rPr>
              <w:t>составляют 414,25 руб. на</w:t>
            </w:r>
            <w:r>
              <w:rPr>
                <w:sz w:val="28"/>
                <w:szCs w:val="28"/>
              </w:rPr>
              <w:t xml:space="preserve"> одного заявителя.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              22 сентября 2015 года № 669: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Расчет информационных издержек произведен с использованием калькулятора расчета стандартных издержек (</w:t>
            </w:r>
            <w:r>
              <w:rPr>
                <w:sz w:val="28"/>
                <w:szCs w:val="28"/>
                <w:lang w:val="en-US"/>
              </w:rPr>
              <w:t>regulation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название требования: представление пакета документов, предусмотренного проектом;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тип требования: представление информации (документов);</w:t>
            </w:r>
          </w:p>
          <w:p w:rsidR="00BD6053" w:rsidRDefault="0024433A" w:rsidP="00BD6053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D6053">
              <w:rPr>
                <w:sz w:val="28"/>
                <w:szCs w:val="28"/>
              </w:rPr>
              <w:t>раздел требования: информационное;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тип информационного элемента: внутренние документы для хранения/передачи органам власти;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масштаб: субъекты регулирования – 17752 ед.;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частота предоставления: 1 пакет документов 1 раз в год;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действия: копирование документов, написание заявления на предоставление субсидии, подача пакета документов для получения услуги: 2,5 чел./час; 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среднемесячная заработная плата на одного работника по Ейскому району – 27 836,2 руб.;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средняя стоимость часа работы: 165,7 руб. (27 836,2 руб./21 рабочий день/8 час.);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общая стоимость требования: 414,25 руб. (165,</w:t>
            </w:r>
            <w:r w:rsidR="009125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руб./час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2,5 чел./час).</w:t>
            </w:r>
          </w:p>
          <w:p w:rsidR="00BD6053" w:rsidRDefault="00BD6053" w:rsidP="00BD6053">
            <w:pPr>
              <w:pStyle w:val="12"/>
              <w:shd w:val="clear" w:color="auto" w:fill="auto"/>
              <w:tabs>
                <w:tab w:val="left" w:pos="709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Расходы бюджета муниципального образования Ейский район, понесённые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BD6053" w:rsidRDefault="00BD6053" w:rsidP="00BD6053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бюджета муниципального образования Ейский район, полученные от регулирующего воздействия предлагаемого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нормативного правового акта, отсутствуют.</w:t>
            </w:r>
          </w:p>
          <w:p w:rsidR="00BD6053" w:rsidRDefault="00BD6053" w:rsidP="00BD6053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В соответствии с Порядком уполномоченный орган провел    публичные консультации по проекту в период с 11.06.2019 г. по 20.06.2019 г.</w:t>
            </w:r>
          </w:p>
          <w:p w:rsidR="00BD6053" w:rsidRDefault="00BD6053" w:rsidP="00BD6053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>
                <w:rPr>
                  <w:rStyle w:val="af2"/>
                  <w:color w:val="000000"/>
                  <w:sz w:val="28"/>
                  <w:szCs w:val="28"/>
                </w:rPr>
                <w:t>http://www.yeiskraion.ru</w:t>
              </w:r>
            </w:hyperlink>
            <w:r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BD6053" w:rsidRDefault="00BD6053" w:rsidP="00BD6053">
            <w:pPr>
              <w:pStyle w:val="ConsPlusNonformat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данный Проект был направлен на рассмотрение в адрес СПССК «Ейский АГРОСОЮЗ», ТОР «Союз работодателей Ейского района», Союза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межрайонная торгово-промышленная палата», Общественного представителя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Уполномоченного по защите прав предпринимателей в Краснодарском крае П.М.Подставка, ООО «Советник бухгалтера», индивидуального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053" w:rsidRDefault="00BD6053" w:rsidP="00BD6053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      </w:r>
            <w:r>
              <w:rPr>
                <w:sz w:val="28"/>
                <w:szCs w:val="28"/>
              </w:rPr>
              <w:t>от СПССК «Ейский АГРОСОЮЗ», ТОР «Союз работодателей Ейского района», Союза «</w:t>
            </w:r>
            <w:proofErr w:type="spellStart"/>
            <w:r>
              <w:rPr>
                <w:sz w:val="28"/>
                <w:szCs w:val="28"/>
              </w:rPr>
              <w:t>Ейская</w:t>
            </w:r>
            <w:proofErr w:type="spellEnd"/>
            <w:r>
              <w:rPr>
                <w:sz w:val="28"/>
                <w:szCs w:val="28"/>
              </w:rPr>
              <w:t xml:space="preserve">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 Подставка, ООО «Советник бухгалтера», индивидуального предпринимателя </w:t>
            </w: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Д.Ю. не поступило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BD6053" w:rsidRDefault="00BD6053" w:rsidP="00BD6053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>
              <w:rPr>
                <w:color w:val="000000"/>
                <w:sz w:val="28"/>
                <w:szCs w:val="28"/>
              </w:rPr>
      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BD6053" w:rsidRDefault="00BD6053" w:rsidP="00BD605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в соответствии с пунктом 5.2 Порядка регулирующий орган, вносивший проект муниципального нормативного правового акта, при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товке которого проводилась процедура оценки регулирующего воздействия, </w:t>
            </w:r>
            <w:r>
              <w:rPr>
                <w:b/>
                <w:sz w:val="28"/>
                <w:szCs w:val="28"/>
              </w:rPr>
              <w:t xml:space="preserve">в течение 5 рабочих дней </w:t>
            </w:r>
            <w:r>
              <w:rPr>
                <w:sz w:val="28"/>
                <w:szCs w:val="28"/>
              </w:rPr>
              <w:t>со дня его принятия уведомляет об этом уполном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ченный орган.</w:t>
            </w:r>
          </w:p>
          <w:p w:rsidR="00BD6053" w:rsidRDefault="00BD6053" w:rsidP="00BD605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BD6053" w:rsidRDefault="00BD6053" w:rsidP="00BD6053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BD6053" w:rsidRDefault="00BD6053" w:rsidP="00BD6053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Н.А.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Зубченко</w:t>
            </w:r>
            <w:proofErr w:type="spellEnd"/>
          </w:p>
          <w:p w:rsidR="00BD6053" w:rsidRDefault="00BD6053" w:rsidP="00BD6053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03.07.2019 г.</w:t>
            </w:r>
          </w:p>
          <w:p w:rsidR="00BD6053" w:rsidRDefault="00BD6053" w:rsidP="00BD605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BD6053" w:rsidRDefault="00BD6053" w:rsidP="00BD6053">
            <w:pPr>
              <w:suppressAutoHyphen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Т.О.Шушанова</w:t>
            </w:r>
            <w:proofErr w:type="spellEnd"/>
          </w:p>
          <w:p w:rsidR="00E2136F" w:rsidRPr="00BD6053" w:rsidRDefault="00BD6053" w:rsidP="004B05C4">
            <w:r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3D4A8F"/>
    <w:sectPr w:rsidR="00A970EC" w:rsidRPr="009B3E0C" w:rsidSect="00BD6053">
      <w:headerReference w:type="even" r:id="rId9"/>
      <w:headerReference w:type="default" r:id="rId10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72" w:rsidRDefault="006B1672">
      <w:r>
        <w:separator/>
      </w:r>
    </w:p>
  </w:endnote>
  <w:endnote w:type="continuationSeparator" w:id="0">
    <w:p w:rsidR="006B1672" w:rsidRDefault="006B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72" w:rsidRDefault="006B1672">
      <w:r>
        <w:separator/>
      </w:r>
    </w:p>
  </w:footnote>
  <w:footnote w:type="continuationSeparator" w:id="0">
    <w:p w:rsidR="006B1672" w:rsidRDefault="006B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6158CC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6158CC">
    <w:pPr>
      <w:pStyle w:val="a7"/>
      <w:jc w:val="center"/>
    </w:pPr>
    <w:fldSimple w:instr=" PAGE   \* MERGEFORMAT ">
      <w:r w:rsidR="00912525">
        <w:rPr>
          <w:noProof/>
        </w:rPr>
        <w:t>4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287C"/>
    <w:rsid w:val="00142A00"/>
    <w:rsid w:val="00144019"/>
    <w:rsid w:val="00145147"/>
    <w:rsid w:val="00145651"/>
    <w:rsid w:val="00150A3A"/>
    <w:rsid w:val="00152DA6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41F"/>
    <w:rsid w:val="001A5B1B"/>
    <w:rsid w:val="001A7843"/>
    <w:rsid w:val="001A7E9A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33A"/>
    <w:rsid w:val="00244788"/>
    <w:rsid w:val="00246724"/>
    <w:rsid w:val="002473EB"/>
    <w:rsid w:val="0025151B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16B"/>
    <w:rsid w:val="004264D3"/>
    <w:rsid w:val="004327C3"/>
    <w:rsid w:val="00433E97"/>
    <w:rsid w:val="004353A8"/>
    <w:rsid w:val="004368DF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58CC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1672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03C"/>
    <w:rsid w:val="00910D68"/>
    <w:rsid w:val="00911098"/>
    <w:rsid w:val="00912525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EA2"/>
    <w:rsid w:val="00BC7E5E"/>
    <w:rsid w:val="00BD3761"/>
    <w:rsid w:val="00BD3D30"/>
    <w:rsid w:val="00BD509C"/>
    <w:rsid w:val="00BD536D"/>
    <w:rsid w:val="00BD6053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6D7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4A7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0049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175B2E-0B46-4E11-B133-8D43BD5A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227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13235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14</cp:revision>
  <cp:lastPrinted>2019-07-03T06:53:00Z</cp:lastPrinted>
  <dcterms:created xsi:type="dcterms:W3CDTF">2018-11-08T12:37:00Z</dcterms:created>
  <dcterms:modified xsi:type="dcterms:W3CDTF">2019-07-03T06:54:00Z</dcterms:modified>
</cp:coreProperties>
</file>