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A0" w:rsidRPr="004652A0" w:rsidRDefault="004652A0" w:rsidP="004652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652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Приказ Министерства здравоохранения РФ от 6 декабря 2012 г. N 1011н "Об утверждении Порядка проведения профилактического медицинского осмотра"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4652A0" w:rsidRPr="004652A0" w:rsidTr="004652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2A0" w:rsidRPr="004652A0" w:rsidRDefault="004652A0" w:rsidP="0046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52A0" w:rsidRPr="004652A0" w:rsidRDefault="004652A0" w:rsidP="0046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652A0" w:rsidRPr="004652A0" w:rsidRDefault="004652A0" w:rsidP="0046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2A0" w:rsidRPr="004652A0" w:rsidRDefault="004652A0" w:rsidP="004652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652A0" w:rsidRPr="004652A0" w:rsidTr="004652A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52A0" w:rsidRPr="004652A0" w:rsidRDefault="004652A0" w:rsidP="004652A0">
            <w:pPr>
              <w:pStyle w:val="a6"/>
              <w:ind w:firstLine="851"/>
              <w:rPr>
                <w:rFonts w:eastAsia="Times New Roman"/>
              </w:rPr>
            </w:pPr>
            <w:r w:rsidRPr="004652A0">
              <w:rPr>
                <w:rFonts w:eastAsia="Times New Roman"/>
              </w:rPr>
              <w:br/>
            </w:r>
          </w:p>
          <w:p w:rsidR="004652A0" w:rsidRPr="00D53123" w:rsidRDefault="004652A0" w:rsidP="004652A0">
            <w:pPr>
              <w:pStyle w:val="a6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</w:t>
            </w:r>
            <w:hyperlink r:id="rId5" w:anchor="block_46" w:history="1">
              <w:r w:rsidRPr="00D5312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статьей 46</w:t>
              </w:r>
            </w:hyperlink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2012, N 26, ст. 3442, 3446) приказываю:</w:t>
            </w:r>
          </w:p>
          <w:p w:rsidR="004652A0" w:rsidRPr="00D53123" w:rsidRDefault="004652A0" w:rsidP="004652A0">
            <w:pPr>
              <w:pStyle w:val="a6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порядок проведения профилактического медицинского осмотра согласно </w:t>
            </w:r>
            <w:hyperlink r:id="rId6" w:anchor="block_1000" w:history="1">
              <w:r w:rsidRPr="00D5312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приложению</w:t>
              </w:r>
            </w:hyperlink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52A0" w:rsidRPr="00D53123" w:rsidRDefault="004652A0" w:rsidP="004652A0">
            <w:pPr>
              <w:pStyle w:val="a6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1"/>
              <w:gridCol w:w="3134"/>
            </w:tblGrid>
            <w:tr w:rsidR="004652A0" w:rsidRPr="00D53123" w:rsidTr="004652A0">
              <w:trPr>
                <w:tblCellSpacing w:w="15" w:type="dxa"/>
              </w:trPr>
              <w:tc>
                <w:tcPr>
                  <w:tcW w:w="3300" w:type="pct"/>
                  <w:vAlign w:val="bottom"/>
                  <w:hideMark/>
                </w:tcPr>
                <w:p w:rsidR="004652A0" w:rsidRPr="00D53123" w:rsidRDefault="004652A0" w:rsidP="004652A0">
                  <w:pPr>
                    <w:pStyle w:val="a6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31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1650" w:type="pct"/>
                  <w:vAlign w:val="bottom"/>
                  <w:hideMark/>
                </w:tcPr>
                <w:p w:rsidR="004652A0" w:rsidRPr="00D53123" w:rsidRDefault="004652A0" w:rsidP="004652A0">
                  <w:pPr>
                    <w:pStyle w:val="a6"/>
                    <w:ind w:firstLine="8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531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В. Скворцова</w:t>
                  </w:r>
                </w:p>
              </w:tc>
            </w:tr>
          </w:tbl>
          <w:p w:rsidR="004652A0" w:rsidRPr="00D53123" w:rsidRDefault="004652A0" w:rsidP="004652A0">
            <w:pPr>
              <w:pStyle w:val="a6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4652A0" w:rsidRPr="00D53123" w:rsidRDefault="004652A0" w:rsidP="004652A0">
            <w:pPr>
              <w:pStyle w:val="a6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Зарегистрировано в Минюсте РФ 29 декабря 2012 г.</w:t>
            </w:r>
          </w:p>
          <w:p w:rsidR="004652A0" w:rsidRPr="00D53123" w:rsidRDefault="004652A0" w:rsidP="004652A0">
            <w:pPr>
              <w:pStyle w:val="a6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N 26511</w:t>
            </w:r>
          </w:p>
          <w:p w:rsidR="004652A0" w:rsidRPr="004652A0" w:rsidRDefault="004652A0" w:rsidP="004652A0">
            <w:pPr>
              <w:pStyle w:val="a6"/>
              <w:ind w:firstLine="851"/>
              <w:rPr>
                <w:rFonts w:eastAsia="Times New Roman"/>
              </w:rPr>
            </w:pPr>
            <w:r w:rsidRPr="004652A0">
              <w:rPr>
                <w:rFonts w:eastAsia="Times New Roman"/>
              </w:rPr>
              <w:br/>
            </w: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D53123" w:rsidRPr="00D53123" w:rsidRDefault="00D53123" w:rsidP="00D53123">
            <w:pPr>
              <w:pStyle w:val="a6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</w:p>
          <w:p w:rsidR="004652A0" w:rsidRPr="004652A0" w:rsidRDefault="004652A0" w:rsidP="004652A0">
            <w:pPr>
              <w:pStyle w:val="a6"/>
              <w:ind w:firstLine="851"/>
              <w:rPr>
                <w:rFonts w:eastAsia="Times New Roman"/>
                <w:b/>
                <w:sz w:val="28"/>
                <w:szCs w:val="28"/>
              </w:rPr>
            </w:pPr>
            <w:r w:rsidRPr="004652A0">
              <w:rPr>
                <w:rFonts w:eastAsia="Times New Roman"/>
                <w:b/>
                <w:sz w:val="28"/>
                <w:szCs w:val="28"/>
              </w:rPr>
              <w:t>Порядок проведения профилактического медицинского осмотра</w:t>
            </w:r>
          </w:p>
          <w:p w:rsidR="004652A0" w:rsidRPr="004652A0" w:rsidRDefault="004652A0" w:rsidP="004652A0">
            <w:pPr>
              <w:pStyle w:val="a6"/>
              <w:ind w:firstLine="851"/>
              <w:rPr>
                <w:rFonts w:eastAsia="Times New Roman"/>
              </w:rPr>
            </w:pP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65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Профилактический медицинский осмотр проводится в целях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</w:t>
            </w:r>
            <w:hyperlink r:id="rId7" w:anchor="block_111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дислипидемия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и психотропных веществ без назначения врача.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2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Профилактический медицинский осмотр проводится 1 раз в 2 года.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год прохождения диспансеризации профилактический медицинский осмотр не проводится.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</w:t>
            </w: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профилактическим", "терапии", "рентгенологии", "клинической лабораторной диагностике" ("лабораторной диагностике").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профилактического медицинского осмотра.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Гражданин проходит профилактический медицинский осмотр в медицинской организации, в которой он получает первичную медико-санитарную помощь.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медицинский осмотр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форме и в порядке, которые утверждены Министерством здравоохранения Российской Федерации.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</w:t>
            </w:r>
            <w:hyperlink r:id="rId8" w:anchor="block_3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порядке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</w:t>
            </w:r>
            <w:hyperlink r:id="rId9" w:anchor="block_3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форме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которые утверждены Министерством здравоохранения Российской Федерации.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</w:t>
            </w:r>
            <w:hyperlink r:id="rId10" w:anchor="block_1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порядке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установленном </w:t>
            </w:r>
            <w:hyperlink r:id="rId11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23 марта 2012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г.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юстиции Российской Федерации 28 апреля 2012 г., регистрационный N 23971).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8. Основными задачами врача-терапевта при проведении профилактических медицинских осмотров являются: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специализированной, в том числе высокотехнологичной, медицинской помощи, на санаторно-курортное лечение;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4) участие в оформлении (ведении) учетной и отчетной медицинской документации, в том числе паспорта здоровья, форма которого утверждается Министерством здравоохранения Российской Федерации (далее - паспорт здоровья);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5) подведение итогов профилактических медицинских осмотров.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      </w:r>
            <w:proofErr w:type="spellStart"/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      </w:r>
            <w:hyperlink r:id="rId12" w:anchor="block_11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приложением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5) формирование комплекта документов, включая заполнение учетной формы "Маршрутная карта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6) учет граждан, прошедших профилактический медицинский осмотр.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8) заполнение паспортной части и, по согласованию с врачом-терапевтом, других разделов паспорта здоровья.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10. Профилактический медицинский осмотр включает в себя: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антропометрию (измерение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массы тела, окружности талии), расчет индекса массы тела;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3) измерение артериального давления;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определение уровня общего холестерина в крови </w:t>
            </w:r>
            <w:proofErr w:type="spellStart"/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(допускается лабораторный метод);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исследование уровня глюкозы в крови </w:t>
            </w:r>
            <w:proofErr w:type="spellStart"/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экспресс-методом</w:t>
            </w:r>
            <w:proofErr w:type="spellEnd"/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(допускается лабораторный метод);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определение суммарного </w:t>
            </w:r>
            <w:proofErr w:type="spellStart"/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риска (для граждан в возрасте 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65 лет);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7) флюорографию легких</w:t>
            </w:r>
            <w:hyperlink r:id="rId13" w:anchor="block_222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8) маммографию (для женщин в возрасте 39 лет и старше);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10) исследование кала на скрытую кровь (для граждан в возрасте 45 лет и старше);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у гражданина результатов исследований, указанных в </w:t>
            </w:r>
            <w:hyperlink r:id="rId14" w:anchor="block_101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пункте 10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порядков оказания медицинской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 выявленного или предполагаемого заболевания (состояния) и стандартов медицинской помощи, утвержденных Министерством здравоохранения Российской Федерации.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форму </w:t>
            </w:r>
            <w:hyperlink r:id="rId15" w:anchor="block_2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 025/у-04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"Медицинская карта амбулаторного больного", утвержденную </w:t>
            </w:r>
            <w:hyperlink r:id="rId16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здравоохранения и социального развития Российской Федерации от 22 ноября 2004 г. N 255 (зарегистрирован Министерством юстиции Российской Федерации 14 декабря 2004 г., регистрационный N 6188) (далее - медицинская карта амбулаторного больного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форме, утвержденной Министерством здравоохранения Российской Федерации.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проведении профилактического медицинского осмотра и его результаты врачом-терапевтом вносятся в </w:t>
            </w:r>
            <w:hyperlink r:id="rId17" w:anchor="block_70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паспорт здоровья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выдается гражданину.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Для определения по результатам профилактического медицинского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осмотра группы состояния здоровья гражданина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планирования тактики его медицинского наблюдения используются следующие критерии: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группа состояния здоровья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суммарном </w:t>
            </w:r>
            <w:proofErr w:type="spellStart"/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сердечно-сосудистом</w:t>
            </w:r>
            <w:proofErr w:type="spellEnd"/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риске и которые не нуждаются в диспансерном наблюдении по поводу других заболеваний (состояний).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терапевтом, медицинским работником отделения (кабинета) медицинской профилактики или центра здоровья.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группа состояния здоровья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      </w:r>
            <w:proofErr w:type="spellStart"/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сердечно-сосудистом</w:t>
            </w:r>
            <w:proofErr w:type="spellEnd"/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риске и которые не нуждаются в диспансерном наблюдении по поводу других заболеваний (состояний).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группа состояния здоровья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      </w:r>
            <w:hyperlink r:id="rId18" w:anchor="block_333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***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      </w:r>
            <w:proofErr w:type="gramEnd"/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</w:t>
            </w:r>
            <w:hyperlink r:id="rId19" w:anchor="block_46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Статья 46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21.11.2011 N 323-ФЗ "Об основах охраны здоровья граждан в Российской Федерации".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 Флюорография легких не проводится, если гражданину в течение предшествующего календарного </w:t>
            </w:r>
            <w:proofErr w:type="gram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gram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*** По результатам дополнительного обследования группа состояния здоровья гражданина может быть изменена.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3123" w:rsidRDefault="00D53123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2A0" w:rsidRPr="004652A0" w:rsidRDefault="004652A0" w:rsidP="00D53123">
            <w:pPr>
              <w:pStyle w:val="a6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</w:t>
            </w:r>
            <w:hyperlink r:id="rId20" w:anchor="block_1000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Порядку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52A0" w:rsidRPr="00D53123" w:rsidRDefault="004652A0" w:rsidP="00D53123">
            <w:pPr>
              <w:pStyle w:val="a6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Диагностические критерии факторов риска развития хронических неинфекционных заболеваний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Повышенный уровень артериального давления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систолическое артериальное давление равно или выше 140 мм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диастолическое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артериальное давление равно или выше 90 мм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. или проведение гипотензивной терапии.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Дислипидемия</w:t>
            </w:r>
            <w:proofErr w:type="spellEnd"/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отклонение от нормы одного или более показателей липидного обмена (общий холестерин более 5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/л; холестерин липопротеидов высокой плотности у женщин менее 1,0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/л, у мужчин менее 1,2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/л; холестерин липопротеидов низкой плотности более 3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/л;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триглицериды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1,7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/л) или проведение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гиполипидемической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Гипергликемия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уровень глюкозы плазмы натощак более 6,1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/л или проведение 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гиполикемической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терапии.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Курение табака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ежедневное выкуривание одной сигареты и более.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Нерациональное питание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избыточное потребление пищи, жиров, углеводов, потребление поваренной соли более 5 граммов в сутки (</w:t>
            </w:r>
            <w:proofErr w:type="spellStart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досаливание</w:t>
            </w:r>
            <w:proofErr w:type="spellEnd"/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4-6 порций в сутки).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Избыточная масса тела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индекс массы тела 25 - 29,9 </w:t>
            </w:r>
            <w:r w:rsidRPr="004652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257175"/>
                  <wp:effectExtent l="19050" t="0" r="0" b="0"/>
                  <wp:docPr id="2" name="Рисунок 2" descr="http://base.garant.ru/files/base/70301500/2298369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70301500/2298369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ожирение - индекс массы тела более 30 </w:t>
            </w:r>
            <w:r w:rsidRPr="004652A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8150" cy="257175"/>
                  <wp:effectExtent l="19050" t="0" r="0" b="0"/>
                  <wp:docPr id="3" name="Рисунок 3" descr="http://base.garant.ru/files/base/70301500/22983698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70301500/22983698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Низкая физическая активность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ходьба в умеренном или быстром темпе менее 30 минут в день.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Риск пагубного потребления алкоголя и риск потребления наркотических средств и психотропных веществ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назначения врача определяется с помощью опроса (анкетирования), предусмотренного </w:t>
            </w:r>
            <w:hyperlink r:id="rId22" w:anchor="block_10101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подпунктом 1 пункта 10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 проведения профилактического медицинского осмотра, утвержденного </w:t>
            </w:r>
            <w:hyperlink r:id="rId23" w:history="1">
              <w:r w:rsidRPr="004652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приказом</w:t>
              </w:r>
            </w:hyperlink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здравоохранения Российской Федерации от  </w:t>
            </w:r>
            <w:r w:rsidR="00D53123">
              <w:rPr>
                <w:rFonts w:ascii="Times New Roman" w:eastAsia="Times New Roman" w:hAnsi="Times New Roman" w:cs="Times New Roman"/>
                <w:sz w:val="24"/>
                <w:szCs w:val="24"/>
              </w:rPr>
              <w:t>2012 г. № 1011н</w:t>
            </w:r>
          </w:p>
          <w:p w:rsidR="004652A0" w:rsidRPr="004652A0" w:rsidRDefault="004652A0" w:rsidP="004652A0">
            <w:pPr>
              <w:pStyle w:val="a6"/>
              <w:ind w:firstLine="851"/>
              <w:jc w:val="both"/>
              <w:rPr>
                <w:rFonts w:eastAsia="Times New Roman"/>
              </w:rPr>
            </w:pPr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Суммарный </w:t>
            </w:r>
            <w:proofErr w:type="spellStart"/>
            <w:proofErr w:type="gramStart"/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сердечно-сосудистый</w:t>
            </w:r>
            <w:proofErr w:type="spellEnd"/>
            <w:proofErr w:type="gramEnd"/>
            <w:r w:rsidRPr="00D53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риск устанавливается при отсутствии у гражданина доказанных заболеваний, связанных с атеросклерозом</w:t>
            </w:r>
            <w:r w:rsidRPr="004652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52A0" w:rsidRPr="004652A0" w:rsidRDefault="004652A0" w:rsidP="004652A0">
      <w:pPr>
        <w:pStyle w:val="a6"/>
        <w:ind w:firstLine="851"/>
        <w:rPr>
          <w:rFonts w:eastAsia="Times New Roman"/>
          <w:color w:val="000000"/>
        </w:rPr>
      </w:pPr>
      <w:r w:rsidRPr="004652A0">
        <w:rPr>
          <w:rFonts w:eastAsia="Times New Roman"/>
          <w:color w:val="000000"/>
        </w:rPr>
        <w:lastRenderedPageBreak/>
        <w:br/>
      </w:r>
    </w:p>
    <w:p w:rsidR="004652A0" w:rsidRDefault="004652A0"/>
    <w:sectPr w:rsidR="0046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8D6"/>
    <w:multiLevelType w:val="multilevel"/>
    <w:tmpl w:val="0F14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A0"/>
    <w:rsid w:val="004652A0"/>
    <w:rsid w:val="00D5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5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2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52A0"/>
    <w:rPr>
      <w:color w:val="0000FF"/>
      <w:u w:val="single"/>
    </w:rPr>
  </w:style>
  <w:style w:type="paragraph" w:customStyle="1" w:styleId="s3">
    <w:name w:val="s_3"/>
    <w:basedOn w:val="a"/>
    <w:rsid w:val="0046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6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6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652A0"/>
  </w:style>
  <w:style w:type="paragraph" w:styleId="a4">
    <w:name w:val="Balloon Text"/>
    <w:basedOn w:val="a"/>
    <w:link w:val="a5"/>
    <w:uiPriority w:val="99"/>
    <w:semiHidden/>
    <w:unhideWhenUsed/>
    <w:rsid w:val="0046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2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5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3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1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8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202/" TargetMode="External"/><Relationship Id="rId13" Type="http://schemas.openxmlformats.org/officeDocument/2006/relationships/hyperlink" Target="http://base.garant.ru/70301500/" TargetMode="External"/><Relationship Id="rId18" Type="http://schemas.openxmlformats.org/officeDocument/2006/relationships/hyperlink" Target="http://base.garant.ru/7030150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base.garant.ru/70301500/" TargetMode="External"/><Relationship Id="rId12" Type="http://schemas.openxmlformats.org/officeDocument/2006/relationships/hyperlink" Target="http://base.garant.ru/70301500/" TargetMode="External"/><Relationship Id="rId17" Type="http://schemas.openxmlformats.org/officeDocument/2006/relationships/hyperlink" Target="http://base.garant.ru/1219120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ase.garant.ru/12137975/" TargetMode="External"/><Relationship Id="rId20" Type="http://schemas.openxmlformats.org/officeDocument/2006/relationships/hyperlink" Target="http://base.garant.ru/703015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301500/" TargetMode="External"/><Relationship Id="rId11" Type="http://schemas.openxmlformats.org/officeDocument/2006/relationships/hyperlink" Target="http://base.garant.ru/7017058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2191967/5/" TargetMode="External"/><Relationship Id="rId15" Type="http://schemas.openxmlformats.org/officeDocument/2006/relationships/hyperlink" Target="http://base.garant.ru/12137975/" TargetMode="External"/><Relationship Id="rId23" Type="http://schemas.openxmlformats.org/officeDocument/2006/relationships/hyperlink" Target="http://base.garant.ru/70301500/" TargetMode="External"/><Relationship Id="rId10" Type="http://schemas.openxmlformats.org/officeDocument/2006/relationships/hyperlink" Target="http://base.garant.ru/70170588/" TargetMode="External"/><Relationship Id="rId19" Type="http://schemas.openxmlformats.org/officeDocument/2006/relationships/hyperlink" Target="http://base.garant.ru/12191967/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29844/" TargetMode="External"/><Relationship Id="rId14" Type="http://schemas.openxmlformats.org/officeDocument/2006/relationships/hyperlink" Target="http://base.garant.ru/70301500/" TargetMode="External"/><Relationship Id="rId22" Type="http://schemas.openxmlformats.org/officeDocument/2006/relationships/hyperlink" Target="http://base.garant.ru/70301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2982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2015-09-02T07:22:00Z</dcterms:created>
  <dcterms:modified xsi:type="dcterms:W3CDTF">2015-09-02T07:36:00Z</dcterms:modified>
</cp:coreProperties>
</file>